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FAA" w:rsidRPr="00C315B8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  <w:jc w:val="right"/>
        <w:rPr>
          <w:i/>
        </w:rPr>
      </w:pPr>
      <w:proofErr w:type="spellStart"/>
      <w:r w:rsidRPr="00C315B8">
        <w:rPr>
          <w:i/>
        </w:rPr>
        <w:t>Приложение</w:t>
      </w:r>
      <w:proofErr w:type="spellEnd"/>
      <w:r w:rsidRPr="00C315B8">
        <w:rPr>
          <w:i/>
        </w:rPr>
        <w:t xml:space="preserve"> № 2</w:t>
      </w: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p w:rsidR="00887FAA" w:rsidRPr="00802E54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  <w:jc w:val="center"/>
        <w:rPr>
          <w:b/>
        </w:rPr>
      </w:pPr>
      <w:r w:rsidRPr="00802E54">
        <w:rPr>
          <w:b/>
        </w:rPr>
        <w:t>ПРОГНОЗНА СТОЙНОСТ</w:t>
      </w:r>
    </w:p>
    <w:p w:rsidR="00887FAA" w:rsidRPr="00D60A10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  <w:jc w:val="center"/>
        <w:rPr>
          <w:b/>
          <w:lang w:val="bg-BG"/>
        </w:rPr>
      </w:pPr>
      <w:r w:rsidRPr="00D60A10">
        <w:rPr>
          <w:b/>
          <w:lang w:val="bg-BG"/>
        </w:rPr>
        <w:t>за изпълнение на обществена поръчка с предмет: „Разработване и внедряване на електронен публичен регистър на отводите, включващ исканите отводи и мотивите, с които са уважени или не за всеки съдия и отразяващ произнасянето на горната инстанция по тях“</w:t>
      </w: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tbl>
      <w:tblPr>
        <w:tblW w:w="9648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085"/>
        <w:gridCol w:w="6563"/>
      </w:tblGrid>
      <w:tr w:rsidR="00887FAA" w:rsidRPr="00D60A10" w:rsidTr="00190E2B">
        <w:tc>
          <w:tcPr>
            <w:tcW w:w="3085" w:type="dxa"/>
          </w:tcPr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Наименование на участника:</w:t>
            </w:r>
          </w:p>
        </w:tc>
        <w:tc>
          <w:tcPr>
            <w:tcW w:w="6563" w:type="dxa"/>
          </w:tcPr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  <w:tr w:rsidR="00887FAA" w:rsidRPr="00D60A10" w:rsidTr="00190E2B">
        <w:trPr>
          <w:trHeight w:val="525"/>
        </w:trPr>
        <w:tc>
          <w:tcPr>
            <w:tcW w:w="3085" w:type="dxa"/>
          </w:tcPr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Адрес/седалище адрес на управление</w:t>
            </w:r>
          </w:p>
        </w:tc>
        <w:tc>
          <w:tcPr>
            <w:tcW w:w="6563" w:type="dxa"/>
          </w:tcPr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  <w:tr w:rsidR="00887FAA" w:rsidRPr="00D60A10" w:rsidTr="00190E2B">
        <w:trPr>
          <w:trHeight w:val="283"/>
        </w:trPr>
        <w:tc>
          <w:tcPr>
            <w:tcW w:w="3085" w:type="dxa"/>
          </w:tcPr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ЕГН/БУЛСТАТ/ЕИК</w:t>
            </w:r>
          </w:p>
        </w:tc>
        <w:tc>
          <w:tcPr>
            <w:tcW w:w="6563" w:type="dxa"/>
          </w:tcPr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  <w:tr w:rsidR="00887FAA" w:rsidRPr="00D60A10" w:rsidTr="00190E2B">
        <w:trPr>
          <w:trHeight w:val="573"/>
        </w:trPr>
        <w:tc>
          <w:tcPr>
            <w:tcW w:w="3085" w:type="dxa"/>
          </w:tcPr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Лице, представляващо участника</w:t>
            </w:r>
          </w:p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(ако участникът е ЮЛ)</w:t>
            </w:r>
          </w:p>
        </w:tc>
        <w:tc>
          <w:tcPr>
            <w:tcW w:w="6563" w:type="dxa"/>
          </w:tcPr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  <w:tr w:rsidR="00887FAA" w:rsidRPr="00D60A10" w:rsidTr="00190E2B">
        <w:trPr>
          <w:trHeight w:val="328"/>
        </w:trPr>
        <w:tc>
          <w:tcPr>
            <w:tcW w:w="3085" w:type="dxa"/>
          </w:tcPr>
          <w:p w:rsidR="00887FAA" w:rsidRPr="00D60A10" w:rsidRDefault="00887FAA" w:rsidP="00190E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D60A10"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  <w:t>Длъжностно качество</w:t>
            </w:r>
          </w:p>
        </w:tc>
        <w:tc>
          <w:tcPr>
            <w:tcW w:w="6563" w:type="dxa"/>
          </w:tcPr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  <w:p w:rsidR="00887FAA" w:rsidRPr="00D60A10" w:rsidRDefault="00887FAA" w:rsidP="00190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bg-BG"/>
              </w:rPr>
            </w:pPr>
          </w:p>
        </w:tc>
      </w:tr>
    </w:tbl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tbl>
      <w:tblPr>
        <w:tblStyle w:val="TableGrid"/>
        <w:tblW w:w="9648" w:type="dxa"/>
        <w:tblLayout w:type="fixed"/>
        <w:tblLook w:val="04A0" w:firstRow="1" w:lastRow="0" w:firstColumn="1" w:lastColumn="0" w:noHBand="0" w:noVBand="1"/>
      </w:tblPr>
      <w:tblGrid>
        <w:gridCol w:w="738"/>
        <w:gridCol w:w="3960"/>
        <w:gridCol w:w="1710"/>
        <w:gridCol w:w="1440"/>
        <w:gridCol w:w="1800"/>
      </w:tblGrid>
      <w:tr w:rsidR="00887FAA" w:rsidTr="00190E2B">
        <w:tc>
          <w:tcPr>
            <w:tcW w:w="738" w:type="dxa"/>
            <w:vAlign w:val="center"/>
          </w:tcPr>
          <w:p w:rsidR="00887FAA" w:rsidRPr="0095074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</w:p>
          <w:p w:rsidR="00887FAA" w:rsidRPr="0095074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r w:rsidRPr="00950741">
              <w:rPr>
                <w:b/>
              </w:rPr>
              <w:t xml:space="preserve">№ </w:t>
            </w:r>
            <w:proofErr w:type="spellStart"/>
            <w:r w:rsidRPr="00950741">
              <w:rPr>
                <w:b/>
              </w:rPr>
              <w:t>по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ред</w:t>
            </w:r>
            <w:proofErr w:type="spellEnd"/>
          </w:p>
        </w:tc>
        <w:tc>
          <w:tcPr>
            <w:tcW w:w="3960" w:type="dxa"/>
            <w:vAlign w:val="center"/>
          </w:tcPr>
          <w:p w:rsidR="00887FAA" w:rsidRPr="0095074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950741">
              <w:rPr>
                <w:b/>
              </w:rPr>
              <w:t>Описание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на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продукт</w:t>
            </w:r>
            <w:proofErr w:type="spellEnd"/>
          </w:p>
        </w:tc>
        <w:tc>
          <w:tcPr>
            <w:tcW w:w="1710" w:type="dxa"/>
            <w:vAlign w:val="center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C040B7">
              <w:rPr>
                <w:b/>
              </w:rPr>
              <w:t>Срок</w:t>
            </w:r>
            <w:proofErr w:type="spellEnd"/>
            <w:r w:rsidRPr="00C040B7">
              <w:rPr>
                <w:b/>
              </w:rPr>
              <w:t xml:space="preserve"> </w:t>
            </w:r>
            <w:proofErr w:type="spellStart"/>
            <w:r w:rsidRPr="00C040B7">
              <w:rPr>
                <w:b/>
              </w:rPr>
              <w:t>за</w:t>
            </w:r>
            <w:proofErr w:type="spellEnd"/>
            <w:r w:rsidRPr="00C040B7">
              <w:rPr>
                <w:b/>
              </w:rPr>
              <w:t xml:space="preserve"> </w:t>
            </w:r>
            <w:proofErr w:type="spellStart"/>
            <w:r w:rsidRPr="00C040B7">
              <w:rPr>
                <w:b/>
              </w:rPr>
              <w:t>изпълнение</w:t>
            </w:r>
            <w:proofErr w:type="spellEnd"/>
          </w:p>
          <w:p w:rsidR="00887FAA" w:rsidRPr="00065DDB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  <w:i/>
              </w:rPr>
            </w:pPr>
            <w:r w:rsidRPr="00065DDB">
              <w:rPr>
                <w:b/>
                <w:i/>
              </w:rPr>
              <w:t xml:space="preserve">(В </w:t>
            </w:r>
            <w:proofErr w:type="spellStart"/>
            <w:r w:rsidRPr="00065DDB">
              <w:rPr>
                <w:b/>
                <w:i/>
              </w:rPr>
              <w:t>месеци</w:t>
            </w:r>
            <w:proofErr w:type="spellEnd"/>
            <w:r w:rsidRPr="00065DDB">
              <w:rPr>
                <w:b/>
                <w:i/>
              </w:rPr>
              <w:t>)</w:t>
            </w:r>
          </w:p>
        </w:tc>
        <w:tc>
          <w:tcPr>
            <w:tcW w:w="1440" w:type="dxa"/>
            <w:vAlign w:val="center"/>
          </w:tcPr>
          <w:p w:rsidR="00887FAA" w:rsidRPr="0095074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</w:t>
            </w:r>
            <w:r w:rsidRPr="00950741">
              <w:rPr>
                <w:b/>
              </w:rPr>
              <w:t>тойност</w:t>
            </w:r>
            <w:proofErr w:type="spellEnd"/>
            <w:r w:rsidRPr="00950741">
              <w:rPr>
                <w:b/>
              </w:rPr>
              <w:t xml:space="preserve"> в </w:t>
            </w:r>
            <w:proofErr w:type="spellStart"/>
            <w:r w:rsidRPr="00950741">
              <w:rPr>
                <w:b/>
              </w:rPr>
              <w:t>лева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без</w:t>
            </w:r>
            <w:proofErr w:type="spellEnd"/>
            <w:r w:rsidRPr="00950741">
              <w:rPr>
                <w:b/>
              </w:rPr>
              <w:t xml:space="preserve"> ДДС</w:t>
            </w:r>
          </w:p>
        </w:tc>
        <w:tc>
          <w:tcPr>
            <w:tcW w:w="1800" w:type="dxa"/>
            <w:vAlign w:val="center"/>
          </w:tcPr>
          <w:p w:rsidR="00887FAA" w:rsidRPr="0095074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b/>
              </w:rPr>
            </w:pPr>
            <w:proofErr w:type="spellStart"/>
            <w:r w:rsidRPr="00950741">
              <w:rPr>
                <w:b/>
              </w:rPr>
              <w:t>Обща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стойност</w:t>
            </w:r>
            <w:proofErr w:type="spellEnd"/>
            <w:r w:rsidRPr="00950741">
              <w:rPr>
                <w:b/>
              </w:rPr>
              <w:t xml:space="preserve"> в </w:t>
            </w:r>
            <w:proofErr w:type="spellStart"/>
            <w:r w:rsidRPr="00950741">
              <w:rPr>
                <w:b/>
              </w:rPr>
              <w:t>лева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без</w:t>
            </w:r>
            <w:proofErr w:type="spellEnd"/>
            <w:r w:rsidRPr="00950741">
              <w:rPr>
                <w:b/>
              </w:rPr>
              <w:t xml:space="preserve"> ДДС </w:t>
            </w:r>
            <w:proofErr w:type="spellStart"/>
            <w:r w:rsidRPr="00950741">
              <w:rPr>
                <w:b/>
              </w:rPr>
              <w:t>за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заявеното</w:t>
            </w:r>
            <w:proofErr w:type="spellEnd"/>
            <w:r w:rsidRPr="00950741">
              <w:rPr>
                <w:b/>
              </w:rPr>
              <w:t xml:space="preserve"> </w:t>
            </w:r>
            <w:proofErr w:type="spellStart"/>
            <w:r w:rsidRPr="00950741">
              <w:rPr>
                <w:b/>
              </w:rPr>
              <w:t>количество</w:t>
            </w:r>
            <w:proofErr w:type="spellEnd"/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1.</w:t>
            </w:r>
          </w:p>
        </w:tc>
        <w:tc>
          <w:tcPr>
            <w:tcW w:w="3960" w:type="dxa"/>
          </w:tcPr>
          <w:p w:rsidR="00887FAA" w:rsidRPr="001E7ADE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  <w:rPr>
                <w:lang w:val="bg-BG"/>
              </w:rPr>
            </w:pPr>
            <w:r w:rsidRPr="001E7ADE">
              <w:rPr>
                <w:lang w:val="bg-BG"/>
              </w:rPr>
              <w:t>Дейност 1 „Анализ“, включващ преглед на нормативните актове, относими към обхвата на обществената поръчка с цел установяване на нормативните изисквания, на които трябва да отговарят технологичните решения с оглед постигането на проектните цели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2.</w:t>
            </w:r>
          </w:p>
        </w:tc>
        <w:tc>
          <w:tcPr>
            <w:tcW w:w="3960" w:type="dxa"/>
          </w:tcPr>
          <w:p w:rsidR="00887FAA" w:rsidRPr="00004021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  <w:rPr>
                <w:lang w:val="bg-BG"/>
              </w:rPr>
            </w:pPr>
            <w:r w:rsidRPr="00004021">
              <w:rPr>
                <w:lang w:val="bg-BG"/>
              </w:rPr>
              <w:t>Дейност 2 „Определяне на потребителски изисквания“, съобразно резултатите от Дейност 1 и функционалните и нефункционални изисквания към софтуерния продукт, посочени в Техническата спецификация.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lastRenderedPageBreak/>
              <w:t>3.</w:t>
            </w:r>
          </w:p>
        </w:tc>
        <w:tc>
          <w:tcPr>
            <w:tcW w:w="396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</w:pPr>
            <w:proofErr w:type="spellStart"/>
            <w:r>
              <w:t>Дейност</w:t>
            </w:r>
            <w:proofErr w:type="spellEnd"/>
            <w:r w:rsidRPr="007B76CB">
              <w:t xml:space="preserve"> 3 </w:t>
            </w:r>
            <w:r>
              <w:t>„</w:t>
            </w:r>
            <w:proofErr w:type="spellStart"/>
            <w:r w:rsidRPr="007B76CB">
              <w:t>Изготвяне</w:t>
            </w:r>
            <w:proofErr w:type="spellEnd"/>
            <w:r w:rsidRPr="007B76CB">
              <w:t xml:space="preserve"> </w:t>
            </w:r>
            <w:proofErr w:type="spellStart"/>
            <w:r w:rsidRPr="007B76CB">
              <w:t>на</w:t>
            </w:r>
            <w:proofErr w:type="spellEnd"/>
            <w:r w:rsidRPr="007B76CB">
              <w:t xml:space="preserve"> </w:t>
            </w:r>
            <w:r w:rsidRPr="001E7ADE">
              <w:rPr>
                <w:lang w:val="bg-BG"/>
              </w:rPr>
              <w:t>детайлна спецификация (системен проект)“, включваща  най-малко следното:</w:t>
            </w:r>
            <w:r w:rsidRPr="001E7ADE">
              <w:rPr>
                <w:lang w:val="bg-BG"/>
              </w:rPr>
              <w:br/>
              <w:t>- Описание на частите от работните процеси, изпълнявани от софтуерния продукт;</w:t>
            </w:r>
            <w:r w:rsidRPr="001E7ADE">
              <w:rPr>
                <w:lang w:val="bg-BG"/>
              </w:rPr>
              <w:br/>
              <w:t>- Избор и описание на системната архитектура;</w:t>
            </w:r>
            <w:r w:rsidRPr="001E7ADE">
              <w:rPr>
                <w:lang w:val="bg-BG"/>
              </w:rPr>
              <w:br/>
              <w:t>- Дизайн и структура на базите данни;</w:t>
            </w:r>
            <w:r w:rsidRPr="001E7ADE">
              <w:rPr>
                <w:lang w:val="bg-BG"/>
              </w:rPr>
              <w:br/>
              <w:t>- Определяне на потребителите и потребителските истории (user stories);</w:t>
            </w:r>
            <w:r w:rsidRPr="001E7ADE">
              <w:rPr>
                <w:lang w:val="bg-BG"/>
              </w:rPr>
              <w:br/>
              <w:t>- Определяне на потребителските интерфейси;</w:t>
            </w:r>
            <w:r w:rsidRPr="001E7ADE">
              <w:rPr>
                <w:lang w:val="bg-BG"/>
              </w:rPr>
              <w:br/>
              <w:t>- Определяне на механизмите, технологиите и инструментите за обмен с външните информационни източници и системи;</w:t>
            </w:r>
            <w:r w:rsidRPr="001E7ADE">
              <w:rPr>
                <w:lang w:val="bg-BG"/>
              </w:rPr>
              <w:br/>
              <w:t>- Дефиниране на изискванията към хардуерната и комуникационната инфраструктура.</w:t>
            </w:r>
            <w:r w:rsidRPr="001E7ADE">
              <w:rPr>
                <w:lang w:val="bg-BG"/>
              </w:rPr>
              <w:tab/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4.</w:t>
            </w:r>
          </w:p>
        </w:tc>
        <w:tc>
          <w:tcPr>
            <w:tcW w:w="3960" w:type="dxa"/>
          </w:tcPr>
          <w:p w:rsidR="00887FAA" w:rsidRPr="001E7AD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1E7ADE">
              <w:rPr>
                <w:lang w:val="bg-BG"/>
              </w:rPr>
              <w:t>Дейност 4 „Разработване на софтуерно решение“ съгласно одобрения системен проект, включващ като функционалност следните секции: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орган на съдебната власт;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вид дело, номер и година;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име на съдия;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дата на заседание;</w:t>
            </w:r>
            <w:r>
              <w:rPr>
                <w:lang w:val="bg-BG"/>
              </w:rPr>
              <w:br/>
              <w:t>-</w:t>
            </w:r>
            <w:r w:rsidRPr="001E7ADE">
              <w:rPr>
                <w:lang w:val="bg-BG"/>
              </w:rPr>
              <w:t xml:space="preserve"> искане за отвод;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мотиви за уважение или отхвърляне на искане за отвод;</w:t>
            </w:r>
            <w:r>
              <w:rPr>
                <w:lang w:val="bg-BG"/>
              </w:rPr>
              <w:br/>
              <w:t xml:space="preserve">- </w:t>
            </w:r>
            <w:r w:rsidRPr="001E7ADE">
              <w:rPr>
                <w:lang w:val="bg-BG"/>
              </w:rPr>
              <w:t>произнасяне на горна инстанция по отвод (ако има такова).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5.</w:t>
            </w:r>
          </w:p>
        </w:tc>
        <w:tc>
          <w:tcPr>
            <w:tcW w:w="3960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lang w:val="bg-BG"/>
              </w:rPr>
              <w:t>Дейност 5 „Тестване на разработен</w:t>
            </w:r>
            <w:r>
              <w:rPr>
                <w:lang w:val="bg-BG"/>
              </w:rPr>
              <w:t>ото</w:t>
            </w:r>
            <w:r w:rsidRPr="0037065E">
              <w:rPr>
                <w:lang w:val="bg-BG"/>
              </w:rPr>
              <w:t xml:space="preserve"> софтуерн</w:t>
            </w:r>
            <w:r>
              <w:rPr>
                <w:lang w:val="bg-BG"/>
              </w:rPr>
              <w:t>о</w:t>
            </w:r>
            <w:r w:rsidRPr="0037065E">
              <w:rPr>
                <w:lang w:val="bg-BG"/>
              </w:rPr>
              <w:t xml:space="preserve"> </w:t>
            </w:r>
            <w:r>
              <w:rPr>
                <w:lang w:val="bg-BG"/>
              </w:rPr>
              <w:t>решение</w:t>
            </w:r>
            <w:r w:rsidRPr="0037065E">
              <w:rPr>
                <w:lang w:val="bg-BG"/>
              </w:rPr>
              <w:t>“, включваща:</w:t>
            </w:r>
            <w:r w:rsidRPr="0037065E">
              <w:rPr>
                <w:lang w:val="bg-BG"/>
              </w:rPr>
              <w:br/>
              <w:t>- изготвяне и предаване на План за провеждане на приемателни тестове;</w:t>
            </w:r>
            <w:r w:rsidRPr="0037065E">
              <w:rPr>
                <w:lang w:val="bg-BG"/>
              </w:rPr>
              <w:br/>
              <w:t>- подготвяне на тестови модел и тестови сценарии;</w:t>
            </w:r>
            <w:r w:rsidRPr="0037065E">
              <w:rPr>
                <w:lang w:val="bg-BG"/>
              </w:rPr>
              <w:br/>
              <w:t>- тестване на софтуерното решение в създадена за целта тестова среда.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lastRenderedPageBreak/>
              <w:t>6.</w:t>
            </w:r>
          </w:p>
        </w:tc>
        <w:tc>
          <w:tcPr>
            <w:tcW w:w="3960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lang w:val="bg-BG"/>
              </w:rPr>
              <w:t>Дейност 6 „Внедряване“, включваща инсталиране, конфигуриране и настройка на системата в условията на съответната експлоатационна среда на ВСС.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rPr>
                <w:lang w:val="bg-BG"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lang w:val="bg-BG"/>
              </w:rPr>
              <w:t>Дейност 7 „Документиране</w:t>
            </w:r>
            <w:r>
              <w:rPr>
                <w:lang w:val="bg-BG"/>
              </w:rPr>
              <w:t>“, включваща:</w:t>
            </w:r>
            <w:r>
              <w:rPr>
                <w:lang w:val="bg-BG"/>
              </w:rPr>
              <w:br/>
              <w:t xml:space="preserve">- </w:t>
            </w:r>
            <w:r w:rsidRPr="0037065E">
              <w:rPr>
                <w:lang w:val="bg-BG"/>
              </w:rPr>
              <w:t>Техническо описание;</w:t>
            </w:r>
            <w:r>
              <w:rPr>
                <w:lang w:val="bg-BG"/>
              </w:rPr>
              <w:br/>
              <w:t xml:space="preserve">- </w:t>
            </w:r>
            <w:r w:rsidRPr="0037065E">
              <w:rPr>
                <w:lang w:val="bg-BG"/>
              </w:rPr>
              <w:t xml:space="preserve">Ръководства на потребителя и администратора за работа и администриране на </w:t>
            </w:r>
            <w:r>
              <w:rPr>
                <w:lang w:val="bg-BG"/>
              </w:rPr>
              <w:t>софтуера</w:t>
            </w:r>
            <w:r w:rsidRPr="0037065E">
              <w:rPr>
                <w:lang w:val="bg-BG"/>
              </w:rPr>
              <w:t>, илюстрирани с графики/скрийншотове;</w:t>
            </w:r>
            <w:r>
              <w:rPr>
                <w:lang w:val="bg-BG"/>
              </w:rPr>
              <w:br/>
              <w:t xml:space="preserve">- </w:t>
            </w:r>
            <w:r w:rsidRPr="0037065E">
              <w:rPr>
                <w:lang w:val="bg-BG"/>
              </w:rPr>
              <w:t xml:space="preserve">Source код, записан на </w:t>
            </w:r>
            <w:r>
              <w:rPr>
                <w:lang w:val="bg-BG"/>
              </w:rPr>
              <w:t>оптичен</w:t>
            </w:r>
            <w:r w:rsidRPr="0037065E">
              <w:rPr>
                <w:lang w:val="bg-BG"/>
              </w:rPr>
              <w:t xml:space="preserve"> носител.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7.</w:t>
            </w:r>
          </w:p>
        </w:tc>
        <w:tc>
          <w:tcPr>
            <w:tcW w:w="3960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lang w:val="bg-BG"/>
              </w:rPr>
              <w:t xml:space="preserve">Дейност 8 „Обучение за потребителите“, включваща провеждане на обучение (за </w:t>
            </w:r>
            <w:r>
              <w:rPr>
                <w:lang w:val="bg-BG"/>
              </w:rPr>
              <w:t>прибилизително</w:t>
            </w:r>
            <w:r w:rsidRPr="0037065E">
              <w:rPr>
                <w:lang w:val="bg-BG"/>
              </w:rPr>
              <w:t xml:space="preserve"> 20 участника) на посочени от Възложителя служители </w:t>
            </w:r>
            <w:r w:rsidRPr="0001314B">
              <w:rPr>
                <w:lang w:val="bg-BG"/>
              </w:rPr>
              <w:t xml:space="preserve">на ВСС </w:t>
            </w:r>
            <w:r w:rsidRPr="0001314B">
              <w:rPr>
                <w:rFonts w:eastAsia="Times New Roman"/>
                <w:color w:val="000000" w:themeColor="text1"/>
                <w:lang w:val="bg-BG"/>
              </w:rPr>
              <w:t>и други органи на съдебната власт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  <w:r>
              <w:t>8.</w:t>
            </w:r>
          </w:p>
        </w:tc>
        <w:tc>
          <w:tcPr>
            <w:tcW w:w="3960" w:type="dxa"/>
          </w:tcPr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lang w:val="bg-BG"/>
              </w:rPr>
              <w:t xml:space="preserve">Дейност 9 „Гаранционна поддръжка“, включваща </w:t>
            </w:r>
            <w:r w:rsidRPr="00E877CA">
              <w:rPr>
                <w:lang w:val="bg-BG"/>
              </w:rPr>
              <w:t>техническа поддръжка на пълната функционалност на софтуерните компоненти, вкл. и на открити липсващи функционалности, които е необходимо да се разработят за нормалното функциониране на системата съгласно промените в законодателството и разработване на нови функционалности във връзка с промени в законодателството и вътрешни актове на ВСС.</w:t>
            </w:r>
            <w:r w:rsidRPr="0037065E">
              <w:rPr>
                <w:lang w:val="bg-BG"/>
              </w:rPr>
              <w:t xml:space="preserve"> </w:t>
            </w:r>
          </w:p>
          <w:p w:rsidR="00887FAA" w:rsidRPr="0037065E" w:rsidRDefault="00887FAA" w:rsidP="00190E2B">
            <w:pPr>
              <w:pStyle w:val="BodyText"/>
              <w:kinsoku w:val="0"/>
              <w:overflowPunct w:val="0"/>
              <w:spacing w:after="120"/>
              <w:ind w:right="136"/>
              <w:jc w:val="left"/>
              <w:rPr>
                <w:lang w:val="bg-BG"/>
              </w:rPr>
            </w:pPr>
            <w:r w:rsidRPr="0037065E">
              <w:rPr>
                <w:b/>
                <w:i/>
                <w:lang w:val="bg-BG"/>
              </w:rPr>
              <w:t>Забележка:</w:t>
            </w:r>
            <w:r w:rsidRPr="0037065E">
              <w:rPr>
                <w:lang w:val="bg-BG"/>
              </w:rPr>
              <w:t xml:space="preserve"> Да се посочи цена за срок на гаранционна поддръжка от 48 (четиридесет и осем) месеца, считано от датата на приемане и въвеждане в експлоатация.</w:t>
            </w:r>
          </w:p>
        </w:tc>
        <w:tc>
          <w:tcPr>
            <w:tcW w:w="171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44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Pr="00291CE2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9.</w:t>
            </w:r>
          </w:p>
        </w:tc>
        <w:tc>
          <w:tcPr>
            <w:tcW w:w="7110" w:type="dxa"/>
            <w:gridSpan w:val="3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</w:pPr>
            <w:proofErr w:type="spellStart"/>
            <w:r>
              <w:t>Общият</w:t>
            </w:r>
            <w:proofErr w:type="spellEnd"/>
            <w:r>
              <w:t xml:space="preserve"> </w:t>
            </w:r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дейностите</w:t>
            </w:r>
            <w:proofErr w:type="spellEnd"/>
            <w:r>
              <w:t xml:space="preserve"> </w:t>
            </w: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трябва</w:t>
            </w:r>
            <w:proofErr w:type="spellEnd"/>
            <w:r>
              <w:t xml:space="preserve"> </w:t>
            </w:r>
            <w:proofErr w:type="spellStart"/>
            <w:r>
              <w:t>да</w:t>
            </w:r>
            <w:proofErr w:type="spellEnd"/>
            <w:r>
              <w:t xml:space="preserve"> </w:t>
            </w:r>
            <w:proofErr w:type="spellStart"/>
            <w:r>
              <w:t>надхвърля</w:t>
            </w:r>
            <w:proofErr w:type="spellEnd"/>
            <w:r>
              <w:t xml:space="preserve"> 12 </w:t>
            </w:r>
            <w:proofErr w:type="spellStart"/>
            <w:r>
              <w:t>месеца</w:t>
            </w:r>
            <w:proofErr w:type="spellEnd"/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Pr="00291CE2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10.</w:t>
            </w:r>
          </w:p>
        </w:tc>
        <w:tc>
          <w:tcPr>
            <w:tcW w:w="7110" w:type="dxa"/>
            <w:gridSpan w:val="3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</w:pPr>
            <w:proofErr w:type="spellStart"/>
            <w:r>
              <w:t>Обща</w:t>
            </w:r>
            <w:proofErr w:type="spellEnd"/>
            <w:r>
              <w:t xml:space="preserve"> </w:t>
            </w:r>
            <w:proofErr w:type="spellStart"/>
            <w:r>
              <w:t>стойност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поръчката</w:t>
            </w:r>
            <w:proofErr w:type="spellEnd"/>
            <w:r>
              <w:t xml:space="preserve"> в </w:t>
            </w:r>
            <w:proofErr w:type="spellStart"/>
            <w:r>
              <w:t>лева</w:t>
            </w:r>
            <w:proofErr w:type="spellEnd"/>
            <w:r>
              <w:t xml:space="preserve"> </w:t>
            </w:r>
            <w:proofErr w:type="spellStart"/>
            <w:r>
              <w:t>без</w:t>
            </w:r>
            <w:proofErr w:type="spellEnd"/>
            <w:r>
              <w:t xml:space="preserve"> ДДС</w:t>
            </w: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  <w:tr w:rsidR="00887FAA" w:rsidTr="00190E2B">
        <w:tc>
          <w:tcPr>
            <w:tcW w:w="738" w:type="dxa"/>
          </w:tcPr>
          <w:p w:rsidR="00887FAA" w:rsidRPr="00291CE2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>11.</w:t>
            </w:r>
          </w:p>
        </w:tc>
        <w:tc>
          <w:tcPr>
            <w:tcW w:w="7110" w:type="dxa"/>
            <w:gridSpan w:val="3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left"/>
            </w:pPr>
            <w:proofErr w:type="spellStart"/>
            <w:r>
              <w:t>Обща</w:t>
            </w:r>
            <w:proofErr w:type="spellEnd"/>
            <w:r>
              <w:t xml:space="preserve"> </w:t>
            </w:r>
            <w:proofErr w:type="spellStart"/>
            <w:r>
              <w:t>стойност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изпълнение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поръчката</w:t>
            </w:r>
            <w:proofErr w:type="spellEnd"/>
            <w:r>
              <w:t xml:space="preserve"> в </w:t>
            </w:r>
            <w:proofErr w:type="spellStart"/>
            <w:r>
              <w:t>лева</w:t>
            </w:r>
            <w:proofErr w:type="spellEnd"/>
            <w:r>
              <w:t xml:space="preserve"> с ДДС</w:t>
            </w:r>
          </w:p>
        </w:tc>
        <w:tc>
          <w:tcPr>
            <w:tcW w:w="1800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</w:pPr>
          </w:p>
        </w:tc>
      </w:tr>
    </w:tbl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tbl>
      <w:tblPr>
        <w:tblStyle w:val="TableGrid"/>
        <w:tblW w:w="9645" w:type="dxa"/>
        <w:tblLook w:val="04A0" w:firstRow="1" w:lastRow="0" w:firstColumn="1" w:lastColumn="0" w:noHBand="0" w:noVBand="1"/>
      </w:tblPr>
      <w:tblGrid>
        <w:gridCol w:w="9645"/>
      </w:tblGrid>
      <w:tr w:rsidR="00887FAA" w:rsidTr="00190E2B">
        <w:trPr>
          <w:trHeight w:val="269"/>
        </w:trPr>
        <w:tc>
          <w:tcPr>
            <w:tcW w:w="9645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jc w:val="center"/>
              <w:rPr>
                <w:lang w:val="bg-BG"/>
              </w:rPr>
            </w:pPr>
            <w:r>
              <w:rPr>
                <w:sz w:val="22"/>
                <w:szCs w:val="22"/>
                <w:lang w:val="bg-BG"/>
              </w:rPr>
              <w:lastRenderedPageBreak/>
              <w:t>Подход за</w:t>
            </w:r>
            <w:r w:rsidRPr="0064345B">
              <w:rPr>
                <w:sz w:val="22"/>
                <w:szCs w:val="22"/>
                <w:lang w:val="bg-BG"/>
              </w:rPr>
              <w:t xml:space="preserve"> реализация</w:t>
            </w:r>
            <w:r>
              <w:rPr>
                <w:sz w:val="22"/>
                <w:szCs w:val="22"/>
                <w:lang w:val="bg-BG"/>
              </w:rPr>
              <w:t xml:space="preserve"> на дейностите, посочени в техническата спецификация</w:t>
            </w:r>
          </w:p>
        </w:tc>
      </w:tr>
      <w:tr w:rsidR="00887FAA" w:rsidTr="00190E2B">
        <w:trPr>
          <w:trHeight w:val="10907"/>
        </w:trPr>
        <w:tc>
          <w:tcPr>
            <w:tcW w:w="9645" w:type="dxa"/>
          </w:tcPr>
          <w:p w:rsidR="00887FAA" w:rsidRDefault="00887FAA" w:rsidP="00190E2B">
            <w:pPr>
              <w:pStyle w:val="BodyText"/>
              <w:kinsoku w:val="0"/>
              <w:overflowPunct w:val="0"/>
              <w:spacing w:after="120" w:line="276" w:lineRule="auto"/>
              <w:ind w:left="0" w:right="136"/>
              <w:rPr>
                <w:lang w:val="bg-BG"/>
              </w:rPr>
            </w:pPr>
            <w:r>
              <w:rPr>
                <w:lang w:val="bg-BG"/>
              </w:rPr>
              <w:t xml:space="preserve"> </w:t>
            </w:r>
          </w:p>
        </w:tc>
      </w:tr>
    </w:tbl>
    <w:p w:rsidR="00887FAA" w:rsidRPr="0064345B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  <w:rPr>
          <w:lang w:val="bg-BG"/>
        </w:rPr>
      </w:pP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  <w:proofErr w:type="spellStart"/>
      <w:r>
        <w:t>Дата</w:t>
      </w:r>
      <w:proofErr w:type="spellEnd"/>
      <w:proofErr w:type="gramStart"/>
      <w:r>
        <w:t xml:space="preserve">: </w:t>
      </w:r>
      <w:r>
        <w:tab/>
        <w:t>……………….</w:t>
      </w:r>
      <w:proofErr w:type="gramEnd"/>
      <w:r>
        <w:tab/>
      </w:r>
      <w:r>
        <w:tab/>
      </w:r>
      <w:r>
        <w:tab/>
        <w:t>Представител</w:t>
      </w:r>
      <w:proofErr w:type="gramStart"/>
      <w:r>
        <w:t>:</w:t>
      </w:r>
      <w:r>
        <w:t>....................................................</w:t>
      </w:r>
      <w:proofErr w:type="gramEnd"/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  <w:proofErr w:type="spellStart"/>
      <w:proofErr w:type="gramStart"/>
      <w:r>
        <w:t>гр</w:t>
      </w:r>
      <w:proofErr w:type="spellEnd"/>
      <w:proofErr w:type="gramEnd"/>
      <w:r>
        <w:t xml:space="preserve">. </w:t>
      </w:r>
      <w:r>
        <w:tab/>
        <w:t>……………….</w:t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………………………………….</w:t>
      </w:r>
    </w:p>
    <w:p w:rsidR="00887FAA" w:rsidRDefault="00887FAA" w:rsidP="00887FAA">
      <w:pPr>
        <w:pStyle w:val="BodyText"/>
        <w:kinsoku w:val="0"/>
        <w:overflowPunct w:val="0"/>
        <w:spacing w:after="120" w:line="276" w:lineRule="auto"/>
        <w:ind w:left="0" w:right="13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</w:t>
      </w:r>
      <w:proofErr w:type="spellStart"/>
      <w:proofErr w:type="gramStart"/>
      <w:r>
        <w:t>имена</w:t>
      </w:r>
      <w:proofErr w:type="spellEnd"/>
      <w:proofErr w:type="gramEnd"/>
      <w:r>
        <w:t xml:space="preserve">, </w:t>
      </w:r>
      <w:proofErr w:type="spellStart"/>
      <w:r>
        <w:t>подпис</w:t>
      </w:r>
      <w:proofErr w:type="spellEnd"/>
      <w:r>
        <w:t xml:space="preserve">, </w:t>
      </w:r>
      <w:proofErr w:type="spellStart"/>
      <w:r>
        <w:t>печат</w:t>
      </w:r>
      <w:proofErr w:type="spellEnd"/>
      <w:r>
        <w:t>)</w:t>
      </w:r>
    </w:p>
    <w:p w:rsidR="0084117C" w:rsidRDefault="0084117C"/>
    <w:sectPr w:rsidR="0084117C" w:rsidSect="00950741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A69"/>
    <w:rsid w:val="00121A69"/>
    <w:rsid w:val="0062742A"/>
    <w:rsid w:val="0084117C"/>
    <w:rsid w:val="0088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FA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87FAA"/>
    <w:pPr>
      <w:widowControl w:val="0"/>
      <w:autoSpaceDE w:val="0"/>
      <w:autoSpaceDN w:val="0"/>
      <w:adjustRightInd w:val="0"/>
      <w:spacing w:after="0" w:line="240" w:lineRule="auto"/>
      <w:ind w:left="216"/>
      <w:jc w:val="both"/>
    </w:pPr>
    <w:rPr>
      <w:rFonts w:ascii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1"/>
    <w:rsid w:val="00887FAA"/>
    <w:rPr>
      <w:rFonts w:ascii="Times New Roman" w:eastAsiaTheme="minorEastAsia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59"/>
    <w:rsid w:val="00887FAA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FA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87FAA"/>
    <w:pPr>
      <w:widowControl w:val="0"/>
      <w:autoSpaceDE w:val="0"/>
      <w:autoSpaceDN w:val="0"/>
      <w:adjustRightInd w:val="0"/>
      <w:spacing w:after="0" w:line="240" w:lineRule="auto"/>
      <w:ind w:left="216"/>
      <w:jc w:val="both"/>
    </w:pPr>
    <w:rPr>
      <w:rFonts w:ascii="Times New Roman" w:hAnsi="Times New Roman" w:cs="Times New Roman"/>
      <w:sz w:val="24"/>
      <w:szCs w:val="24"/>
      <w:lang w:eastAsia="bg-BG"/>
    </w:rPr>
  </w:style>
  <w:style w:type="character" w:customStyle="1" w:styleId="BodyTextChar">
    <w:name w:val="Body Text Char"/>
    <w:basedOn w:val="DefaultParagraphFont"/>
    <w:link w:val="BodyText"/>
    <w:uiPriority w:val="1"/>
    <w:rsid w:val="00887FAA"/>
    <w:rPr>
      <w:rFonts w:ascii="Times New Roman" w:eastAsiaTheme="minorEastAsia" w:hAnsi="Times New Roman" w:cs="Times New Roman"/>
      <w:sz w:val="24"/>
      <w:szCs w:val="24"/>
      <w:lang w:eastAsia="bg-BG"/>
    </w:rPr>
  </w:style>
  <w:style w:type="table" w:styleId="TableGrid">
    <w:name w:val="Table Grid"/>
    <w:basedOn w:val="TableNormal"/>
    <w:uiPriority w:val="59"/>
    <w:rsid w:val="00887FAA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83174-95CA-4A11-9EC6-EDE7A6249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</Words>
  <Characters>3234</Characters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2019-09-12T08:20:00Z</dcterms:created>
  <dcterms:modified xsi:type="dcterms:W3CDTF">2019-09-12T08:20:00Z</dcterms:modified>
</cp:coreProperties>
</file>